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956CB8">
      <w:pPr>
        <w:pStyle w:val="1"/>
      </w:pPr>
      <w:r>
        <w:fldChar w:fldCharType="begin"/>
      </w:r>
      <w:r>
        <w:instrText>HYPERLINK "https://internet.garant.ru/document/redirect/403136997/0"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транспорта РФ от 1 ноября 2021 г. N 370 "О Порядке проведения оценки уязвимости объектов </w:t>
      </w:r>
      <w:r>
        <w:rPr>
          <w:rStyle w:val="a4"/>
          <w:b w:val="0"/>
          <w:bCs w:val="0"/>
        </w:rPr>
        <w:t>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</w:t>
      </w:r>
      <w:r>
        <w:rPr>
          <w:rStyle w:val="a4"/>
          <w:b w:val="0"/>
          <w:bCs w:val="0"/>
        </w:rPr>
        <w:t>говорами Российской Федерации"</w:t>
      </w:r>
      <w:r>
        <w:fldChar w:fldCharType="end"/>
      </w:r>
    </w:p>
    <w:p w:rsidR="00000000" w:rsidRDefault="00956CB8"/>
    <w:p w:rsidR="00000000" w:rsidRDefault="00956CB8">
      <w:r>
        <w:t xml:space="preserve">В соответствии с </w:t>
      </w:r>
      <w:hyperlink r:id="rId7" w:history="1">
        <w:r>
          <w:rPr>
            <w:rStyle w:val="a4"/>
          </w:rPr>
          <w:t>частью 1 статьи 5</w:t>
        </w:r>
      </w:hyperlink>
      <w:r>
        <w:t xml:space="preserve"> Федерального закона от 9 февраля 2007 г. N 16-ФЗ "О транспортной безопасности" (Собрание законодательства Российск</w:t>
      </w:r>
      <w:r>
        <w:t xml:space="preserve">ой Федерации, 2007, N 7, ст. 837; 2019, N 31, ст. 4429) и </w:t>
      </w:r>
      <w:hyperlink r:id="rId8" w:history="1">
        <w:r>
          <w:rPr>
            <w:rStyle w:val="a4"/>
          </w:rPr>
          <w:t>пунктом 1</w:t>
        </w:r>
      </w:hyperlink>
      <w:r>
        <w:t xml:space="preserve"> Положения о Министерстве транспорта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июля 2004 г. N 395 (Собрание законодательства Российской Федерации, 2004, N 32, ст. 3342; 2019, N 1, ст. 10), приказываю:</w:t>
      </w:r>
    </w:p>
    <w:p w:rsidR="00000000" w:rsidRDefault="00956CB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</w:t>
      </w:r>
      <w:r>
        <w:t>аны судов и портовых средств, установленные международными договорами Российской Федерации.</w:t>
      </w:r>
    </w:p>
    <w:p w:rsidR="00000000" w:rsidRDefault="00956CB8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956CB8">
      <w:r>
        <w:fldChar w:fldCharType="begin"/>
      </w:r>
      <w:r>
        <w:instrText>HYPERLINK "https://internet.garant.ru/document/redirect/198346/0"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транспорта Российской Фед</w:t>
      </w:r>
      <w:r>
        <w:t>ерации от 12 апреля 2010 г. N 87 "О порядке проведения оценки уязвимости объектов транспортной инфраструктуры и транспортных средств" (зарегистрирован Министерством юстиции Российской Федерации 21 мая 2010 г., регистрационный N 17321);</w:t>
      </w:r>
    </w:p>
    <w:bookmarkStart w:id="4" w:name="sub_22"/>
    <w:bookmarkEnd w:id="3"/>
    <w:p w:rsidR="00000000" w:rsidRDefault="00956CB8">
      <w:r>
        <w:fldChar w:fldCharType="begin"/>
      </w:r>
      <w:r>
        <w:instrText>HYPERLIN</w:instrText>
      </w:r>
      <w:r>
        <w:instrText>K "https://internet.garant.ru/document/redirect/55172056/0"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транспорта Российской Федерации от 26 июля 2011 г. N 199 "О внесении изменения в приказ Министерства транспорта Российской Федерации от 12 апреля 2010 г. N 87" (зарегистриров</w:t>
      </w:r>
      <w:r>
        <w:t>ан Министерством юстиции Российской Федерации 23 августа 2011 г., регистрационный N 21682);</w:t>
      </w:r>
    </w:p>
    <w:bookmarkStart w:id="5" w:name="sub_23"/>
    <w:bookmarkEnd w:id="4"/>
    <w:p w:rsidR="00000000" w:rsidRDefault="00956CB8">
      <w:r>
        <w:fldChar w:fldCharType="begin"/>
      </w:r>
      <w:r>
        <w:instrText>HYPERLINK "https://internet.garant.ru/document/redirect/71524136/0"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транспорта Российской Федерации от 18 августа 2016 г. N 245 "О</w:t>
      </w:r>
      <w:r>
        <w:t xml:space="preserve"> внесении изменений в Порядок проведения оценки уязвимости объектов транспортной инфраструктуры и транспортных средств, утвержденный приказом Министерства транспорта Российской Федерации от 12 апреля 2010 г. N 87" (зарегистрирован Министерством юстиции Рос</w:t>
      </w:r>
      <w:r>
        <w:t>сийской Федерации 26 октября 2016 г., регистрационный N 44157);</w:t>
      </w:r>
    </w:p>
    <w:bookmarkStart w:id="6" w:name="sub_24"/>
    <w:bookmarkEnd w:id="5"/>
    <w:p w:rsidR="00000000" w:rsidRDefault="00956CB8">
      <w:r>
        <w:fldChar w:fldCharType="begin"/>
      </w:r>
      <w:r>
        <w:instrText>HYPERLINK "https://internet.garant.ru/document/redirect/71992362/0"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транспорта Российской Федерации от 18 апреля 2018 г. N 155 "О внесении изменений в Порядок</w:t>
      </w:r>
      <w:r>
        <w:t xml:space="preserve"> проведения оценки уязвимости объектов транспортной инфраструктуры и транспортных средств, утвержденный приказом Министерства транспорта Российской Федерации от 12 апреля 2010 г. N 87" (зарегистрирован Министерством юстиции Российской Федерации 18 июля 201</w:t>
      </w:r>
      <w:r>
        <w:t>8 г., регистрационный N 51631);</w:t>
      </w:r>
    </w:p>
    <w:bookmarkStart w:id="7" w:name="sub_25"/>
    <w:bookmarkEnd w:id="6"/>
    <w:p w:rsidR="00000000" w:rsidRDefault="00956CB8">
      <w:r>
        <w:fldChar w:fldCharType="begin"/>
      </w:r>
      <w:r>
        <w:instrText>HYPERLINK "https://internet.garant.ru/document/redirect/72209862/1002"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изменений, вносимых в Порядок разработки планов обеспечения транспортной безопасности объектов транспортной инфраструктуры и трансп</w:t>
      </w:r>
      <w:r>
        <w:t>ортных средств, утвержденный приказом Министерства транспорта Российской Федерации от 11 февраля 2010 г. N 34, и в Порядок проведения оценки уязвимости объектов транспортной инфраструктуры и транспортных средств, утвержденный приказом Министерства транспор</w:t>
      </w:r>
      <w:r>
        <w:t xml:space="preserve">та Российской Федерации от 12 апреля 2010 г. N 87, утвержденных </w:t>
      </w:r>
      <w:hyperlink r:id="rId10" w:history="1">
        <w:r>
          <w:rPr>
            <w:rStyle w:val="a4"/>
          </w:rPr>
          <w:t>приказом</w:t>
        </w:r>
      </w:hyperlink>
      <w:r>
        <w:t xml:space="preserve"> Министерства транспорта Российской Федерации от 26 февраля 2019 г. N 58 (зарегистрирован Министерством юстиции Ро</w:t>
      </w:r>
      <w:r>
        <w:t>ссийской Федерации 28 марта 2019 г., регистрационный N 54201).</w:t>
      </w:r>
    </w:p>
    <w:p w:rsidR="00000000" w:rsidRDefault="00956CB8">
      <w:bookmarkStart w:id="8" w:name="sub_3"/>
      <w:bookmarkEnd w:id="7"/>
      <w:r>
        <w:t>3. Настоящий приказ вступает в силу с 1 марта 2022 г. и действует до 1 марта 2028 г.</w:t>
      </w:r>
    </w:p>
    <w:bookmarkEnd w:id="8"/>
    <w:p w:rsidR="00000000" w:rsidRDefault="00956CB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56CB8">
            <w:pPr>
              <w:pStyle w:val="a7"/>
            </w:pPr>
            <w:r>
              <w:t>Министр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56CB8">
            <w:pPr>
              <w:pStyle w:val="a5"/>
              <w:jc w:val="right"/>
            </w:pPr>
            <w:r>
              <w:t>В.Г. Савельев</w:t>
            </w:r>
          </w:p>
        </w:tc>
      </w:tr>
    </w:tbl>
    <w:p w:rsidR="00000000" w:rsidRDefault="00956CB8"/>
    <w:p w:rsidR="00000000" w:rsidRDefault="00956CB8">
      <w:pPr>
        <w:pStyle w:val="a7"/>
      </w:pPr>
      <w:r>
        <w:t>Зарегистрировано в Минюсте РФ 30 ноября 2021 г.</w:t>
      </w:r>
    </w:p>
    <w:p w:rsidR="00000000" w:rsidRDefault="00956CB8">
      <w:pPr>
        <w:pStyle w:val="a7"/>
      </w:pPr>
      <w:r>
        <w:lastRenderedPageBreak/>
        <w:t xml:space="preserve">Регистрационный N </w:t>
      </w:r>
      <w:r>
        <w:t>66134</w:t>
      </w:r>
    </w:p>
    <w:p w:rsidR="00000000" w:rsidRDefault="00956CB8"/>
    <w:p w:rsidR="00000000" w:rsidRDefault="00956CB8">
      <w:pPr>
        <w:ind w:firstLine="698"/>
        <w:jc w:val="right"/>
      </w:pPr>
      <w:bookmarkStart w:id="9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Минтранса России</w:t>
      </w:r>
      <w:r>
        <w:rPr>
          <w:rStyle w:val="a3"/>
        </w:rPr>
        <w:br/>
        <w:t>от 1 ноября 2021 г. N 370</w:t>
      </w:r>
    </w:p>
    <w:bookmarkEnd w:id="9"/>
    <w:p w:rsidR="00000000" w:rsidRDefault="00956CB8"/>
    <w:p w:rsidR="00000000" w:rsidRDefault="00956CB8">
      <w:pPr>
        <w:pStyle w:val="1"/>
      </w:pPr>
      <w:r>
        <w:t>Порядок проведения оценки уязвимости объектов транспортной инфраструктуры, судов ледокольного флота, используемых для проводки по морским путям, су</w:t>
      </w:r>
      <w:r>
        <w:t>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</w:t>
      </w:r>
    </w:p>
    <w:p w:rsidR="00000000" w:rsidRDefault="00956CB8"/>
    <w:p w:rsidR="00000000" w:rsidRDefault="00956CB8">
      <w:bookmarkStart w:id="10" w:name="sub_1001"/>
      <w:r>
        <w:t>1. Оценка уязвимости объекта транспортной инфраструктуры и (или) судна, подлежащего оценке уязвимости (далее - оценка уязвимости, суда, подлежащие оценке уязвимости соответственно), проводится в целях определения степени защищенности объекта транспортной и</w:t>
      </w:r>
      <w:r>
        <w:t>нфраструктуры и судна, подлежащего оценке уязвимости, от потенциальных угроз совершения актов незаконного вмешательства в их деятельность.</w:t>
      </w:r>
    </w:p>
    <w:p w:rsidR="00000000" w:rsidRDefault="00956CB8">
      <w:bookmarkStart w:id="11" w:name="sub_1002"/>
      <w:bookmarkEnd w:id="10"/>
      <w:r>
        <w:t xml:space="preserve">2. Оценка уязвимости акватории морского порта проводится в целях определения степени защищенности от </w:t>
      </w:r>
      <w:r>
        <w:t>потенциальных угроз совершения актов незаконного вмешательства в отношении судов, находящихся в акватории морского порта, возможности незаконного нахождения или перемещения судов, принятия мер капитаном морского порта по обнаружению судов, их идентификации</w:t>
      </w:r>
      <w:r>
        <w:t>, установления с ними радиосвязи, прекращения их незаконного нахождения, перемещения в акватории морского порта.</w:t>
      </w:r>
    </w:p>
    <w:p w:rsidR="00000000" w:rsidRDefault="00956CB8">
      <w:bookmarkStart w:id="12" w:name="sub_1003"/>
      <w:bookmarkEnd w:id="11"/>
      <w:r>
        <w:t>3. Оценка уязвимости морского терминала, акватории морского порта включает в себя оценку охраны морского терминала, акватории м</w:t>
      </w:r>
      <w:r>
        <w:t xml:space="preserve">орского порта и проводится с учетом требований, установленных </w:t>
      </w:r>
      <w:hyperlink r:id="rId11" w:history="1">
        <w:r>
          <w:rPr>
            <w:rStyle w:val="a4"/>
          </w:rPr>
          <w:t>главой XI-2</w:t>
        </w:r>
      </w:hyperlink>
      <w:r>
        <w:t xml:space="preserve"> Международной конвенции по охране человеческой жизни на море 1974 г.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, </w:t>
      </w:r>
      <w:hyperlink r:id="rId12" w:history="1">
        <w:r>
          <w:rPr>
            <w:rStyle w:val="a4"/>
          </w:rPr>
          <w:t>Международным кодексом</w:t>
        </w:r>
      </w:hyperlink>
      <w:r>
        <w:t xml:space="preserve"> по охране судов и портовых средств</w:t>
      </w:r>
      <w:r>
        <w:rPr>
          <w:vertAlign w:val="superscript"/>
        </w:rPr>
        <w:t> </w:t>
      </w:r>
      <w:hyperlink w:anchor="sub_1112" w:history="1">
        <w:r>
          <w:rPr>
            <w:rStyle w:val="a4"/>
            <w:vertAlign w:val="superscript"/>
          </w:rPr>
          <w:t>2</w:t>
        </w:r>
      </w:hyperlink>
      <w:r>
        <w:t xml:space="preserve"> и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от 9 февраля </w:t>
      </w:r>
      <w:r>
        <w:t>2007 г. N 16-ФЗ "О транспортной безопасности"</w:t>
      </w:r>
      <w:r>
        <w:rPr>
          <w:vertAlign w:val="superscript"/>
        </w:rPr>
        <w:t> </w:t>
      </w:r>
      <w:hyperlink w:anchor="sub_1113" w:history="1">
        <w:r>
          <w:rPr>
            <w:rStyle w:val="a4"/>
            <w:vertAlign w:val="superscript"/>
          </w:rPr>
          <w:t>3</w:t>
        </w:r>
      </w:hyperlink>
      <w:r>
        <w:t>, а также принимаемыми в соответствии с ними иными нормативными правовыми актами Российской Федерации.</w:t>
      </w:r>
    </w:p>
    <w:p w:rsidR="00000000" w:rsidRDefault="00956CB8">
      <w:bookmarkStart w:id="13" w:name="sub_1004"/>
      <w:bookmarkEnd w:id="12"/>
      <w:r>
        <w:t>4. Оценка уязвимости судна, в отношении которого применяются правила торгового мореплавания и требования в области охраны судов и портовы</w:t>
      </w:r>
      <w:r>
        <w:t>х средств, установленные международными договорами Российской Федерации, является оценкой охраны судна, осуществляющего международные рейсы</w:t>
      </w:r>
      <w:r>
        <w:rPr>
          <w:vertAlign w:val="superscript"/>
        </w:rPr>
        <w:t> </w:t>
      </w:r>
      <w:hyperlink w:anchor="sub_1114" w:history="1">
        <w:r>
          <w:rPr>
            <w:rStyle w:val="a4"/>
            <w:vertAlign w:val="superscript"/>
          </w:rPr>
          <w:t>4</w:t>
        </w:r>
      </w:hyperlink>
      <w:r>
        <w:t xml:space="preserve">, и проводится с учетом требований, установленных </w:t>
      </w:r>
      <w:hyperlink r:id="rId14" w:history="1">
        <w:r>
          <w:rPr>
            <w:rStyle w:val="a4"/>
          </w:rPr>
          <w:t>главой XI-2</w:t>
        </w:r>
      </w:hyperlink>
      <w:r>
        <w:t xml:space="preserve"> Международной конвенции по охране человеческой жизни на море 1974 г., </w:t>
      </w:r>
      <w:hyperlink r:id="rId15" w:history="1">
        <w:r>
          <w:rPr>
            <w:rStyle w:val="a4"/>
          </w:rPr>
          <w:t>Международным кодексом</w:t>
        </w:r>
      </w:hyperlink>
      <w:r>
        <w:t xml:space="preserve"> по охране судов и портовых средств и </w:t>
      </w:r>
      <w:hyperlink r:id="rId16" w:history="1">
        <w:r>
          <w:rPr>
            <w:rStyle w:val="a4"/>
          </w:rPr>
          <w:t>частью 5 статьи 5</w:t>
        </w:r>
      </w:hyperlink>
      <w:r>
        <w:t xml:space="preserve"> Федерального закона от 9 февраля 2007 г. N 16-ФЗ "О транспортной безопасности", а также принимаемыми в соответствии с ними иными нормативными правовыми актами Российской </w:t>
      </w:r>
      <w:r>
        <w:t>Федерации.</w:t>
      </w:r>
    </w:p>
    <w:p w:rsidR="00000000" w:rsidRDefault="00956CB8">
      <w:bookmarkStart w:id="14" w:name="sub_1005"/>
      <w:bookmarkEnd w:id="13"/>
      <w:r>
        <w:t>5. В ходе проведения оценки уязвимости осуществляются:</w:t>
      </w:r>
    </w:p>
    <w:p w:rsidR="00000000" w:rsidRDefault="00956CB8">
      <w:bookmarkStart w:id="15" w:name="sub_1051"/>
      <w:bookmarkEnd w:id="14"/>
      <w:r>
        <w:t>5.1. В отношении объектов транспортной инфраструктуры и судов, подлежащих оценке уязвимости, за исключением акватории морского порта:</w:t>
      </w:r>
    </w:p>
    <w:p w:rsidR="00000000" w:rsidRDefault="00956CB8">
      <w:bookmarkStart w:id="16" w:name="sub_511"/>
      <w:bookmarkEnd w:id="15"/>
      <w:r>
        <w:t>5.1.1. Из</w:t>
      </w:r>
      <w:r>
        <w:t>учение технических и технологических характеристик объекта транспортной инфраструктуры и (или) судна, подлежащего оценке уязвимости (включая геологические, гидрологические и географические особенности дислокации объекта транспортной инфраструктуры), а такж</w:t>
      </w:r>
      <w:r>
        <w:t>е организации их эксплуатации (функционирования).</w:t>
      </w:r>
    </w:p>
    <w:bookmarkEnd w:id="16"/>
    <w:p w:rsidR="00000000" w:rsidRDefault="00956CB8">
      <w:r>
        <w:t xml:space="preserve">Результатом изучения организациями, указанными в </w:t>
      </w:r>
      <w:hyperlink r:id="rId17" w:history="1">
        <w:r>
          <w:rPr>
            <w:rStyle w:val="a4"/>
          </w:rPr>
          <w:t>части 2 статьи 5</w:t>
        </w:r>
      </w:hyperlink>
      <w:r>
        <w:t xml:space="preserve"> Федерального закона от 9 февраля 2007 г. N 16-ФЗ "О транспорт</w:t>
      </w:r>
      <w:r>
        <w:t>ной безопасности"</w:t>
      </w:r>
      <w:r>
        <w:rPr>
          <w:vertAlign w:val="superscript"/>
        </w:rPr>
        <w:t> </w:t>
      </w:r>
      <w:hyperlink w:anchor="sub_1115" w:history="1">
        <w:r>
          <w:rPr>
            <w:rStyle w:val="a4"/>
            <w:vertAlign w:val="superscript"/>
          </w:rPr>
          <w:t>5</w:t>
        </w:r>
      </w:hyperlink>
      <w:r>
        <w:rPr>
          <w:vertAlign w:val="superscript"/>
        </w:rPr>
        <w:t xml:space="preserve"> </w:t>
      </w:r>
      <w:r>
        <w:t>(далее - специализированные организации), объекта транспортной инфраструктуры является описание его основных технических и технологических характеристик с детализацией соответствующей представленной в техническ</w:t>
      </w:r>
      <w:r>
        <w:t xml:space="preserve">ой и эксплуатационной документации (включая геологические, гидрологические и географические </w:t>
      </w:r>
      <w:r>
        <w:lastRenderedPageBreak/>
        <w:t>особенности дислокации объекта транспортной инфраструктуры), а также организации его эксплуатации (функционирования), границ зоны транспортной безопасности с учетом</w:t>
      </w:r>
      <w:r>
        <w:t xml:space="preserve"> </w:t>
      </w:r>
      <w:hyperlink r:id="rId18" w:history="1">
        <w:r>
          <w:rPr>
            <w:rStyle w:val="a4"/>
          </w:rPr>
          <w:t>пункта 1.1 статьи 1</w:t>
        </w:r>
      </w:hyperlink>
      <w:r>
        <w:t xml:space="preserve"> Федерального закона от 9 февраля 2007 г. N 16-ФЗ "О транспортной безопасности"</w:t>
      </w:r>
      <w:r>
        <w:rPr>
          <w:vertAlign w:val="superscript"/>
        </w:rPr>
        <w:t> </w:t>
      </w:r>
      <w:hyperlink w:anchor="sub_1116" w:history="1">
        <w:r>
          <w:rPr>
            <w:rStyle w:val="a4"/>
            <w:vertAlign w:val="superscript"/>
          </w:rPr>
          <w:t>6</w:t>
        </w:r>
      </w:hyperlink>
      <w:r>
        <w:t>, критических элементов (при наличии) объекта транспорт</w:t>
      </w:r>
      <w:r>
        <w:t>ной инфраструктуры.</w:t>
      </w:r>
    </w:p>
    <w:p w:rsidR="00000000" w:rsidRDefault="00956CB8">
      <w:r>
        <w:t xml:space="preserve">Результатом изучения судна, подлежащего оценке уязвимости, является описание его технических и технологических характеристик, организации его эксплуатации (функционирования), границ зоны транспортной безопасности, с учетом </w:t>
      </w:r>
      <w:hyperlink r:id="rId19" w:history="1">
        <w:r>
          <w:rPr>
            <w:rStyle w:val="a4"/>
          </w:rPr>
          <w:t>пункта 1.1 статьи 1</w:t>
        </w:r>
      </w:hyperlink>
      <w:r>
        <w:t xml:space="preserve"> Федерального закона от 9 февраля 2007 г. N 16-ФЗ "О транспортной безопасности"</w:t>
      </w:r>
      <w:r>
        <w:rPr>
          <w:vertAlign w:val="superscript"/>
        </w:rPr>
        <w:t> </w:t>
      </w:r>
      <w:hyperlink w:anchor="sub_1117" w:history="1">
        <w:r>
          <w:rPr>
            <w:rStyle w:val="a4"/>
            <w:vertAlign w:val="superscript"/>
          </w:rPr>
          <w:t>7</w:t>
        </w:r>
      </w:hyperlink>
      <w:r>
        <w:t>, критических элементов судна.</w:t>
      </w:r>
    </w:p>
    <w:p w:rsidR="00000000" w:rsidRDefault="00956CB8">
      <w:bookmarkStart w:id="17" w:name="sub_512"/>
      <w:r>
        <w:t>5.1.2. Изучение системы приняты</w:t>
      </w:r>
      <w:r>
        <w:t>х на объекте транспортной инфраструктуры и (или) судне, подлежащем оценке уязвимости, мер по защите от актов незаконного вмешательства.</w:t>
      </w:r>
    </w:p>
    <w:bookmarkEnd w:id="17"/>
    <w:p w:rsidR="00000000" w:rsidRDefault="00956CB8">
      <w:r>
        <w:t>Результатом изучения является описание системы мер по защите от актов незаконного вмешательства, принятых субъект</w:t>
      </w:r>
      <w:r>
        <w:t xml:space="preserve">ом транспортной инфраструктуры на объекте транспортной инфраструктуры и (или) судне, подлежащем оценке уязвимости, а также оценка соответствия требованиям по обеспечению транспортной безопасности, предусмотренных </w:t>
      </w:r>
      <w:hyperlink r:id="rId20" w:history="1">
        <w:r>
          <w:rPr>
            <w:rStyle w:val="a4"/>
          </w:rPr>
          <w:t>статьей 8</w:t>
        </w:r>
      </w:hyperlink>
      <w:r>
        <w:t xml:space="preserve"> Федерального закона от 9 февраля 2007 г. N 16-ФЗ "О транспортной безопасности"</w:t>
      </w:r>
      <w:r>
        <w:rPr>
          <w:vertAlign w:val="superscript"/>
        </w:rPr>
        <w:t> </w:t>
      </w:r>
      <w:hyperlink w:anchor="sub_1118" w:history="1">
        <w:r>
          <w:rPr>
            <w:rStyle w:val="a4"/>
            <w:vertAlign w:val="superscript"/>
          </w:rPr>
          <w:t>8</w:t>
        </w:r>
      </w:hyperlink>
      <w:r>
        <w:t>.</w:t>
      </w:r>
    </w:p>
    <w:p w:rsidR="00000000" w:rsidRDefault="00956CB8">
      <w:bookmarkStart w:id="18" w:name="sub_513"/>
      <w:r>
        <w:t>5.1.3. Изучение способов реализации потенциальных угроз совершения актов незаконного вмешательства в дея</w:t>
      </w:r>
      <w:r>
        <w:t xml:space="preserve">тельность объекта транспортной инфраструктуры и судна, подлежащего оценке уязвимости, с использованием совокупности сведений о численности, оснащенности, подготовленности, осведомленности, а также действий потенциальных нарушителей, преследуемых целей при </w:t>
      </w:r>
      <w:r>
        <w:t>совершении акта незаконного вмешательства в деятельность объекта транспортной инфраструктуры и судна, подлежащего оценке уязвимости (далее - модель нарушителя).</w:t>
      </w:r>
    </w:p>
    <w:bookmarkEnd w:id="18"/>
    <w:p w:rsidR="00000000" w:rsidRDefault="00956CB8">
      <w:r>
        <w:t>Результатом изучения является описание способов реализации потенциальных угроз совершени</w:t>
      </w:r>
      <w:r>
        <w:t>я актов незаконного вмешательства в деятельность объекта транспортной инфраструктуры и (или) судна, подлежащего оценке уязвимости, применительно к модели нарушителя.</w:t>
      </w:r>
    </w:p>
    <w:p w:rsidR="00000000" w:rsidRDefault="00956CB8">
      <w:bookmarkStart w:id="19" w:name="sub_514"/>
      <w:r>
        <w:t>5.1.4. Определение рекомендаций субъекту транспортной инфраструктуры в отношении ме</w:t>
      </w:r>
      <w:r>
        <w:t>р, которые необходимо дополнительно включить в систему мер по обеспечению транспортной безопасности объекта транспортной инфраструктуры и (или) судна, подлежащего оценке уязвимости.</w:t>
      </w:r>
    </w:p>
    <w:bookmarkEnd w:id="19"/>
    <w:p w:rsidR="00000000" w:rsidRDefault="00956CB8">
      <w:r>
        <w:t>Результатом определения рекомендаций является описание дополнительн</w:t>
      </w:r>
      <w:r>
        <w:t>ых мер, которые необходимо принять субъекту транспортной инфраструктуры на объекте транспортной инфраструктуры и (или) судне, подлежащем оценке уязвимости, в соответствии с требованиями по обеспечению транспортной безопасности.</w:t>
      </w:r>
    </w:p>
    <w:p w:rsidR="00000000" w:rsidRDefault="00956CB8">
      <w:bookmarkStart w:id="20" w:name="sub_1052"/>
      <w:r>
        <w:t>5.2. В отношении акв</w:t>
      </w:r>
      <w:r>
        <w:t>атории морского порта:</w:t>
      </w:r>
    </w:p>
    <w:p w:rsidR="00000000" w:rsidRDefault="00956CB8">
      <w:bookmarkStart w:id="21" w:name="sub_521"/>
      <w:bookmarkEnd w:id="20"/>
      <w:r>
        <w:t xml:space="preserve">5.2.1. Описание границ акватории морского порта (включая места якорных стоянок) в соответствии с установленными </w:t>
      </w:r>
      <w:hyperlink r:id="rId21" w:history="1">
        <w:r>
          <w:rPr>
            <w:rStyle w:val="a4"/>
          </w:rPr>
          <w:t>постановлением</w:t>
        </w:r>
      </w:hyperlink>
      <w:r>
        <w:t xml:space="preserve"> Правительства Российс</w:t>
      </w:r>
      <w:r>
        <w:t>кой Федерации от 30 декабря 2018 г. N 1775 "Об утверждении Правил установления или изменения границ территории морского порта, а также расширения территории морского порта"</w:t>
      </w:r>
      <w:r>
        <w:rPr>
          <w:vertAlign w:val="superscript"/>
        </w:rPr>
        <w:t> </w:t>
      </w:r>
      <w:hyperlink w:anchor="sub_1119" w:history="1">
        <w:r>
          <w:rPr>
            <w:rStyle w:val="a4"/>
            <w:vertAlign w:val="superscript"/>
          </w:rPr>
          <w:t>9</w:t>
        </w:r>
      </w:hyperlink>
      <w:r>
        <w:t xml:space="preserve"> границами акватории морского порта, в том числе географ</w:t>
      </w:r>
      <w:r>
        <w:t>ическими особенностями расположения акватории морского порта.</w:t>
      </w:r>
    </w:p>
    <w:p w:rsidR="00000000" w:rsidRDefault="00956CB8">
      <w:bookmarkStart w:id="22" w:name="sub_522"/>
      <w:bookmarkEnd w:id="21"/>
      <w:r>
        <w:t>5.2.2. Описание подходов к морскому порту в соответствии с обязательными постановлениями в морском порту.</w:t>
      </w:r>
    </w:p>
    <w:p w:rsidR="00000000" w:rsidRDefault="00956CB8">
      <w:bookmarkStart w:id="23" w:name="sub_523"/>
      <w:bookmarkEnd w:id="22"/>
      <w:r>
        <w:t>5.2.3. Описание районов акватории морского порта, запрещенны</w:t>
      </w:r>
      <w:r>
        <w:t>х или ограниченных для судоходства в соответствии с обязательными постановлениями в морском порту, другими нормативными правовыми актами и публикациями, содержащимися в "Извещениях мореплавателям"</w:t>
      </w:r>
      <w:r>
        <w:rPr>
          <w:vertAlign w:val="superscript"/>
        </w:rPr>
        <w:t> </w:t>
      </w:r>
      <w:hyperlink w:anchor="sub_1111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956CB8">
      <w:bookmarkStart w:id="24" w:name="sub_524"/>
      <w:bookmarkEnd w:id="23"/>
      <w:r>
        <w:t>5.2.4. Установ</w:t>
      </w:r>
      <w:r>
        <w:t>ление возможности обнаружения и идентификации судов на поверхности воды акватории морского порта с помощью инженерно-технических средств, установленных в морском порту.</w:t>
      </w:r>
    </w:p>
    <w:p w:rsidR="00000000" w:rsidRDefault="00956CB8">
      <w:bookmarkStart w:id="25" w:name="sub_525"/>
      <w:bookmarkEnd w:id="24"/>
      <w:r>
        <w:lastRenderedPageBreak/>
        <w:t>5.2.5. Описание технических возможностей и зон действия инженерно-техниче</w:t>
      </w:r>
      <w:r>
        <w:t>ских средств (Глобальная морская система связи при бедствии и для обеспечения безопасности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11</w:t>
        </w:r>
      </w:hyperlink>
      <w:r>
        <w:t xml:space="preserve"> , автоматическая идентификационная система</w:t>
      </w:r>
      <w:r>
        <w:rPr>
          <w:vertAlign w:val="superscript"/>
        </w:rPr>
        <w:t> </w:t>
      </w:r>
      <w:hyperlink w:anchor="sub_11112" w:history="1">
        <w:r>
          <w:rPr>
            <w:rStyle w:val="a4"/>
            <w:vertAlign w:val="superscript"/>
          </w:rPr>
          <w:t>12</w:t>
        </w:r>
      </w:hyperlink>
      <w:r>
        <w:t>, средства визуального наблюдения, система управления движением</w:t>
      </w:r>
      <w:r>
        <w:t xml:space="preserve"> судов</w:t>
      </w:r>
      <w:r>
        <w:rPr>
          <w:vertAlign w:val="superscript"/>
        </w:rPr>
        <w:t> </w:t>
      </w:r>
      <w:hyperlink w:anchor="sub_11113" w:history="1">
        <w:r>
          <w:rPr>
            <w:rStyle w:val="a4"/>
            <w:vertAlign w:val="superscript"/>
          </w:rPr>
          <w:t>13</w:t>
        </w:r>
      </w:hyperlink>
      <w:r>
        <w:t>, ультракороткая волновая радиосвязь), с помощью которых возможны обнаружение и идентификация судов, а также установление радиосвязи с ними.</w:t>
      </w:r>
    </w:p>
    <w:p w:rsidR="00000000" w:rsidRDefault="00956CB8">
      <w:bookmarkStart w:id="26" w:name="sub_526"/>
      <w:bookmarkEnd w:id="25"/>
      <w:r>
        <w:t>5.2.6. Определение интенсивности судоходства в акватории морского</w:t>
      </w:r>
      <w:r>
        <w:t xml:space="preserve"> порта.</w:t>
      </w:r>
    </w:p>
    <w:p w:rsidR="00000000" w:rsidRDefault="00956CB8">
      <w:bookmarkStart w:id="27" w:name="sub_527"/>
      <w:bookmarkEnd w:id="26"/>
      <w:r>
        <w:t xml:space="preserve">5.2.7. Описание погрузочно-разгрузочных операций, осуществляющихся в акватории морского порта в соответствии с </w:t>
      </w:r>
      <w:hyperlink r:id="rId22" w:history="1">
        <w:r>
          <w:rPr>
            <w:rStyle w:val="a4"/>
          </w:rPr>
          <w:t>Правилами</w:t>
        </w:r>
      </w:hyperlink>
      <w:r>
        <w:t xml:space="preserve"> оказания услуг по организации перегрузки г</w:t>
      </w:r>
      <w:r>
        <w:t>рузов с судна на судно</w:t>
      </w:r>
      <w:r>
        <w:rPr>
          <w:vertAlign w:val="superscript"/>
        </w:rPr>
        <w:t> </w:t>
      </w:r>
      <w:hyperlink w:anchor="sub_11114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956CB8">
      <w:bookmarkStart w:id="28" w:name="sub_528"/>
      <w:bookmarkEnd w:id="27"/>
      <w:r>
        <w:t>5.2.8. Описание системы мер, принятых субъектом транспортной инфраструктуры на акватории морского порта по защите от актов незаконного вмешательства, а также оценка ее соответствия требова</w:t>
      </w:r>
      <w:r>
        <w:t xml:space="preserve">ниям по обеспечению транспортной безопасности, утвержденным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9 февраля 2007 г. N 16-ФЗ "О транспортной безопасности", и определение границ зоны тра</w:t>
      </w:r>
      <w:r>
        <w:t>нспортной безопасности, ее частей, которые определяются специализированными организациями в области обеспечения транспортной безопасности по согласованию с капитаном морского порта.</w:t>
      </w:r>
    </w:p>
    <w:p w:rsidR="00000000" w:rsidRDefault="00956CB8">
      <w:bookmarkStart w:id="29" w:name="sub_529"/>
      <w:bookmarkEnd w:id="28"/>
      <w:r>
        <w:t>5.2.9. Описание способов реализации потенциальных угроз сове</w:t>
      </w:r>
      <w:r>
        <w:t>ршения актов незаконного вмешательства в акватории морского порта.</w:t>
      </w:r>
    </w:p>
    <w:p w:rsidR="00000000" w:rsidRDefault="00956CB8">
      <w:bookmarkStart w:id="30" w:name="sub_5210"/>
      <w:bookmarkEnd w:id="29"/>
      <w:r>
        <w:t>5.2.10. Определение рекомендаций в отношении мер, которые необходимо дополнительно включить в систему мер по обеспечению транспортной безопасности акватории морского порта.</w:t>
      </w:r>
    </w:p>
    <w:p w:rsidR="00000000" w:rsidRDefault="00956CB8">
      <w:bookmarkStart w:id="31" w:name="sub_5211"/>
      <w:bookmarkEnd w:id="30"/>
      <w:r>
        <w:t xml:space="preserve">5.2.11. Результатом оценки уязвимости акватории морского порта являются материалы проведенной работы, предусмотренной </w:t>
      </w:r>
      <w:hyperlink w:anchor="sub_521" w:history="1">
        <w:r>
          <w:rPr>
            <w:rStyle w:val="a4"/>
          </w:rPr>
          <w:t>подпунктами 5.2.1-5.2.10 пункта 5</w:t>
        </w:r>
      </w:hyperlink>
      <w:r>
        <w:t xml:space="preserve"> Порядка, и рекомендации:</w:t>
      </w:r>
    </w:p>
    <w:bookmarkEnd w:id="31"/>
    <w:p w:rsidR="00000000" w:rsidRDefault="00956CB8">
      <w:r>
        <w:t>о необходимости дополнения техн</w:t>
      </w:r>
      <w:r>
        <w:t>ических или организационных мер в отношении акватории морского порта или ее отдельных частей;</w:t>
      </w:r>
    </w:p>
    <w:p w:rsidR="00000000" w:rsidRDefault="00956CB8">
      <w:r>
        <w:t>и (или) о достаточности технических и организационных мер обеспечения транспортной безопасности для акватории морского порта или ее отдельных частей;</w:t>
      </w:r>
    </w:p>
    <w:p w:rsidR="00000000" w:rsidRDefault="00956CB8">
      <w:r>
        <w:t>и (или) об отсутствии необходимости принятия дополнительных мер обеспечения транспортной безопасности в отношении акватории морского порта или ее отдельных частей.</w:t>
      </w:r>
    </w:p>
    <w:p w:rsidR="00000000" w:rsidRDefault="00956CB8">
      <w:bookmarkStart w:id="32" w:name="sub_1006"/>
      <w:r>
        <w:t>6. Оценка уязвимости объектов транспортной инфраструктуры проводится специализирован</w:t>
      </w:r>
      <w:r>
        <w:t>ными организациями, а судов, подлежащих оценке уязвимости - специализированными организациями либо субъектами транспортной инфраструктуры.</w:t>
      </w:r>
    </w:p>
    <w:bookmarkEnd w:id="32"/>
    <w:p w:rsidR="00000000" w:rsidRDefault="00956CB8">
      <w:r>
        <w:t>Оценка уязвимости объектов транспортной инфраструктуры и (или) судов, подлежащих оценке уязвимости, проводитс</w:t>
      </w:r>
      <w:r>
        <w:t xml:space="preserve">я в соответствии с </w:t>
      </w:r>
      <w:hyperlink r:id="rId24" w:history="1">
        <w:r>
          <w:rPr>
            <w:rStyle w:val="a4"/>
          </w:rPr>
          <w:t>Перечнем</w:t>
        </w:r>
      </w:hyperlink>
      <w: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средств, утвержденным </w:t>
      </w:r>
      <w:hyperlink r:id="rId25" w:history="1">
        <w:r>
          <w:rPr>
            <w:rStyle w:val="a4"/>
          </w:rPr>
          <w:t>приказом</w:t>
        </w:r>
      </w:hyperlink>
      <w:r>
        <w:t xml:space="preserve"> Минтранса России, ФСБ России, МВД России от 5 марта 2010 г. N 52/112/134 "Об утверждении Перечня потенциальных угроз совершения актов незаконного вмешательства в деятельность объек</w:t>
      </w:r>
      <w:r>
        <w:t>тов транспортной инфраструктуры и транспортных средств"</w:t>
      </w:r>
      <w:r>
        <w:rPr>
          <w:vertAlign w:val="superscript"/>
        </w:rPr>
        <w:t> </w:t>
      </w:r>
      <w:hyperlink w:anchor="sub_11115" w:history="1">
        <w:r>
          <w:rPr>
            <w:rStyle w:val="a4"/>
            <w:vertAlign w:val="superscript"/>
          </w:rPr>
          <w:t>15</w:t>
        </w:r>
      </w:hyperlink>
      <w:r>
        <w:t>, а также с применением модели нарушителя.</w:t>
      </w:r>
    </w:p>
    <w:p w:rsidR="00000000" w:rsidRDefault="00956CB8">
      <w:bookmarkStart w:id="33" w:name="sub_1007"/>
      <w:r>
        <w:t>7. Срок проведения оценки уязвимости не должен превышать 30 календарных дней со дня поступления документов в компетентны</w:t>
      </w:r>
      <w:r>
        <w:t>й орган в области обеспечения транспортной безопасности.</w:t>
      </w:r>
    </w:p>
    <w:p w:rsidR="00000000" w:rsidRDefault="00956CB8">
      <w:bookmarkStart w:id="34" w:name="sub_1008"/>
      <w:bookmarkEnd w:id="33"/>
      <w:r>
        <w:t>8. Результаты проведенной оценки уязвимости объекта транспортной инфраструктуры оформляются в виде документа с графическими планами-схемами в двух экземплярах (первый экземпляр на бум</w:t>
      </w:r>
      <w:r>
        <w:t xml:space="preserve">ажном носителе, второй, подписанный усиленной квалифицированной </w:t>
      </w:r>
      <w:hyperlink r:id="rId26" w:history="1">
        <w:r>
          <w:rPr>
            <w:rStyle w:val="a4"/>
          </w:rPr>
          <w:t>электронной подписью</w:t>
        </w:r>
      </w:hyperlink>
      <w:r>
        <w:rPr>
          <w:vertAlign w:val="superscript"/>
        </w:rPr>
        <w:t> </w:t>
      </w:r>
      <w:hyperlink w:anchor="sub_11116" w:history="1">
        <w:r>
          <w:rPr>
            <w:rStyle w:val="a4"/>
            <w:vertAlign w:val="superscript"/>
          </w:rPr>
          <w:t>16</w:t>
        </w:r>
      </w:hyperlink>
      <w:r>
        <w:t>, - на электронном носителе) и в течение 7 календарных дней со дня окончания проведения оценки направляются в компетентный орган в области обеспечения транспортной безопасности</w:t>
      </w:r>
      <w:r>
        <w:rPr>
          <w:vertAlign w:val="superscript"/>
        </w:rPr>
        <w:t> </w:t>
      </w:r>
      <w:hyperlink w:anchor="sub_11117" w:history="1">
        <w:r>
          <w:rPr>
            <w:rStyle w:val="a4"/>
            <w:vertAlign w:val="superscript"/>
          </w:rPr>
          <w:t>17</w:t>
        </w:r>
      </w:hyperlink>
      <w:r>
        <w:t xml:space="preserve"> (далее - компетентный орган) для рассмотрения и п</w:t>
      </w:r>
      <w:r>
        <w:t>ринятия решения об утверждении.</w:t>
      </w:r>
    </w:p>
    <w:bookmarkEnd w:id="34"/>
    <w:p w:rsidR="00000000" w:rsidRDefault="00956CB8">
      <w:r>
        <w:t xml:space="preserve">Результаты проведенной оценки уязвимости судна, подлежащего оценке уязвимости, оформляются в виде документа с графическими планами-схемами, в течение 7 календарных дней </w:t>
      </w:r>
      <w:r>
        <w:lastRenderedPageBreak/>
        <w:t>со дня окончания проведения оценки уязвимости у</w:t>
      </w:r>
      <w:r>
        <w:t xml:space="preserve">тверждаются субъектом транспортной инфраструктуры и в двух экземплярах (первый экземпляр на бумажном носителе, второй, подписанный усиленной квалифицированной </w:t>
      </w:r>
      <w:hyperlink r:id="rId27" w:history="1">
        <w:r>
          <w:rPr>
            <w:rStyle w:val="a4"/>
          </w:rPr>
          <w:t>электронной подписью</w:t>
        </w:r>
      </w:hyperlink>
      <w:r>
        <w:t xml:space="preserve"> - на </w:t>
      </w:r>
      <w:r>
        <w:t>электронном носителе) направляются в компетентный орган в течение 7 календарных дней со дня утверждения.</w:t>
      </w:r>
    </w:p>
    <w:p w:rsidR="00000000" w:rsidRDefault="00956CB8">
      <w:r>
        <w:t>При наличии технической возможности у субъекта транспортной инфраструктуры (специализированной организации) и компетентного органа допускается оформлен</w:t>
      </w:r>
      <w:r>
        <w:t>ие результатов проведенной оценки уязвимости объекта транспортной инфраструктуры и (или) судна, подлежащего оценке уязвимости, в одном экземпляре в форме электронного документа и с обязательным направлением в компетентный орган с использованием единой госу</w:t>
      </w:r>
      <w:r>
        <w:t>дарственной информационной системы обеспечения транспортной безопасности</w:t>
      </w:r>
      <w:r>
        <w:rPr>
          <w:vertAlign w:val="superscript"/>
        </w:rPr>
        <w:t> </w:t>
      </w:r>
      <w:hyperlink w:anchor="sub_11118" w:history="1">
        <w:r>
          <w:rPr>
            <w:rStyle w:val="a4"/>
            <w:vertAlign w:val="superscript"/>
          </w:rPr>
          <w:t>18</w:t>
        </w:r>
      </w:hyperlink>
      <w:r>
        <w:t xml:space="preserve"> (далее - ЕГИС ОТБ).</w:t>
      </w:r>
    </w:p>
    <w:p w:rsidR="00000000" w:rsidRDefault="00956CB8">
      <w:r>
        <w:t>Результаты проведенной оценки уязвимости объекта транспортной инфраструктуры направляются специализированной организацией в компетент</w:t>
      </w:r>
      <w:r>
        <w:t>ный орган на утверждение с подписью субъекта транспортной инфраструктуры об ознакомлении. При направлении с использованием ЕГИС ОТБ специализированной организацией в компетентный орган результаты проведенной оценки уязвимости объекта транспортной инфрастру</w:t>
      </w:r>
      <w:r>
        <w:t xml:space="preserve">ктуры подписываются усиленной квалифицированной </w:t>
      </w:r>
      <w:hyperlink r:id="rId28" w:history="1">
        <w:r>
          <w:rPr>
            <w:rStyle w:val="a4"/>
          </w:rPr>
          <w:t>электронной подписью</w:t>
        </w:r>
      </w:hyperlink>
      <w:r>
        <w:t xml:space="preserve"> специализированной организации, отметкой об ознакомлении является наличие усиленной квалифицированной электронной по</w:t>
      </w:r>
      <w:r>
        <w:t>дписи субъекта транспортной инфраструктуры.</w:t>
      </w:r>
    </w:p>
    <w:p w:rsidR="00000000" w:rsidRDefault="00956CB8">
      <w:r>
        <w:t>Результаты проведенной оценки уязвимости судна, подлежащего оценке уязвимости, направляются в компетентный орган субъектом транспортной инфраструктуры. При направлении результатов проведенной оценки уязвимости су</w:t>
      </w:r>
      <w:r>
        <w:t xml:space="preserve">дна, подлежащего оценке уязвимости, с использованием ЕГИС ОТБ, утверждением результатов оценки уязвимости является наличие усиленной квалифицированной </w:t>
      </w:r>
      <w:hyperlink r:id="rId29" w:history="1">
        <w:r>
          <w:rPr>
            <w:rStyle w:val="a4"/>
          </w:rPr>
          <w:t>электронной подписи</w:t>
        </w:r>
      </w:hyperlink>
      <w:r>
        <w:t xml:space="preserve"> субъекта транс</w:t>
      </w:r>
      <w:r>
        <w:t>портной инфраструктуры.</w:t>
      </w:r>
    </w:p>
    <w:p w:rsidR="00000000" w:rsidRDefault="00956CB8">
      <w:bookmarkStart w:id="35" w:name="sub_1009"/>
      <w:r>
        <w:t>9. При оценке уязвимости группы идентичных по своим конструктивным, техническим, технологическим характеристикам судов, подлежащих оценке уязвимости, находящихся в собственности одного юридического (физического) лица или исп</w:t>
      </w:r>
      <w:r>
        <w:t>ользующихся им на ином законном основании, по согласованию с соответствующим компетентным органом результаты оценки уязвимости одного судна, подлежащего оценке уязвимости, распространяются на всю группу.</w:t>
      </w:r>
    </w:p>
    <w:bookmarkEnd w:id="35"/>
    <w:p w:rsidR="00000000" w:rsidRDefault="00956CB8">
      <w:r>
        <w:t>Перечень судов, подлежащих оценке уязвимости</w:t>
      </w:r>
      <w:r>
        <w:t>, входящих в указанную группу, является приложением к результатам проведенной оценки уязвимости и направляется в компетентный орган совместно с утвержденными результатами оценки уязвимости.</w:t>
      </w:r>
    </w:p>
    <w:p w:rsidR="00000000" w:rsidRDefault="00956CB8">
      <w:bookmarkStart w:id="36" w:name="sub_1010"/>
      <w:r>
        <w:t xml:space="preserve">10. Решение об утверждении результатов проведенной оценки </w:t>
      </w:r>
      <w:r>
        <w:t>уязвимости объекта транспортной инфраструктуры либо об отказе в их утверждении принимается компетентным органом в срок, не превышающий 30 календарных дней, со дня представления (регистрации) результатов проведенной оценки уязвимости в компетентном органе.</w:t>
      </w:r>
    </w:p>
    <w:p w:rsidR="00000000" w:rsidRDefault="00956CB8">
      <w:bookmarkStart w:id="37" w:name="sub_10101"/>
      <w:bookmarkEnd w:id="36"/>
      <w:r>
        <w:t>10.1. Решение оформляется в виде заключения, утверждается руководителем компетентного органа (либо уполномоченным им лицом).</w:t>
      </w:r>
    </w:p>
    <w:bookmarkEnd w:id="37"/>
    <w:p w:rsidR="00000000" w:rsidRDefault="00956CB8">
      <w:r>
        <w:t>При поступлении результатов оценки уязвимости объекта транспортной инфраструктуры в форме электронного до</w:t>
      </w:r>
      <w:r>
        <w:t xml:space="preserve">кумента с использованием ЕГИС ОТБ решение оформляется в форме электронного документа, подписанного усиленной квалифицированной </w:t>
      </w:r>
      <w:hyperlink r:id="rId30" w:history="1">
        <w:r>
          <w:rPr>
            <w:rStyle w:val="a4"/>
          </w:rPr>
          <w:t>электронной подписью</w:t>
        </w:r>
      </w:hyperlink>
      <w:r>
        <w:t xml:space="preserve"> руководителя компетентного органа (ли</w:t>
      </w:r>
      <w:r>
        <w:t>бо уполномоченного им лица).</w:t>
      </w:r>
    </w:p>
    <w:p w:rsidR="00000000" w:rsidRDefault="00956CB8">
      <w:bookmarkStart w:id="38" w:name="sub_10102"/>
      <w:r>
        <w:t>10.2. Первый экземпляр результатов проведенной оценки уязвимости объекта транспортной инфраструктуры, утвержденный руководителем компетентного органа (либо уполномоченным им лицом) и заверенный гербовой печатью, направ</w:t>
      </w:r>
      <w:r>
        <w:t>ляется (вручается) специализированной организации, второй экземпляр остается в компетентном органе.</w:t>
      </w:r>
    </w:p>
    <w:bookmarkEnd w:id="38"/>
    <w:p w:rsidR="00000000" w:rsidRDefault="00956CB8">
      <w:r>
        <w:t>Первый экземпляр результатов утвержденной оценки уязвимости судна, подлежащего оценке уязвимости, направляется (вручается) субъекту транспортной ин</w:t>
      </w:r>
      <w:r>
        <w:t>фраструктуры с отметкой о получении в течение 10 календарных дней со дня его поступления в компетентный орган в области обеспечения транспортной безопасности, второй экземпляр остается в компетентном органе.</w:t>
      </w:r>
    </w:p>
    <w:p w:rsidR="00000000" w:rsidRDefault="00956CB8">
      <w:r>
        <w:lastRenderedPageBreak/>
        <w:t>При поступлении в компетентный орган результатов</w:t>
      </w:r>
      <w:r>
        <w:t xml:space="preserve"> проведенной оценки уязвимости объекта транспортной инфраструктуры в форме электронного документа с использованием ЕГИС ОТБ, результат проведенной оценки уязвимости объекта транспортной инфраструктуры, утвержденный усиленной квалифицированной </w:t>
      </w:r>
      <w:hyperlink r:id="rId31" w:history="1">
        <w:r>
          <w:rPr>
            <w:rStyle w:val="a4"/>
          </w:rPr>
          <w:t>электронной подписью</w:t>
        </w:r>
      </w:hyperlink>
      <w:r>
        <w:t xml:space="preserve"> руководителя компетентного органа (либо уполномоченного им лица), направляется специализированной организации с использованием ЕГИС ОТБ.</w:t>
      </w:r>
    </w:p>
    <w:p w:rsidR="00000000" w:rsidRDefault="00956CB8">
      <w:r>
        <w:t>При поступлении в компетентный орган утв</w:t>
      </w:r>
      <w:r>
        <w:t>ержденных результатов проведенной оценки уязвимости судна, подлежащего оценке уязвимости, с использованием ЕГИС ОТБ, результаты проведенной оценки уязвимости судна, подлежащего оценке уязвимости, с отметкой о получении, подписанной усиленной квалифицирован</w:t>
      </w:r>
      <w:r>
        <w:t xml:space="preserve">ной </w:t>
      </w:r>
      <w:hyperlink r:id="rId32" w:history="1">
        <w:r>
          <w:rPr>
            <w:rStyle w:val="a4"/>
          </w:rPr>
          <w:t>электронной подписью</w:t>
        </w:r>
      </w:hyperlink>
      <w:r>
        <w:t xml:space="preserve"> руководителя компетентного органа (либо уполномоченного им лица), направляются субъекту транспортной инфраструктуры с использованием ЕГИС ОТБ в течение 10 кален</w:t>
      </w:r>
      <w:r>
        <w:t>дарных дней со дня его поступления в компетентный орган.</w:t>
      </w:r>
    </w:p>
    <w:p w:rsidR="00000000" w:rsidRDefault="00956CB8">
      <w:bookmarkStart w:id="39" w:name="sub_10103"/>
      <w:r>
        <w:t>10.3. Решение об отказе в утверждении результатов проведенной оценки уязвимости объекта транспортной инфраструктуры направляется (вручается) специализированной организации в письменной форме</w:t>
      </w:r>
      <w:r>
        <w:t xml:space="preserve"> с указанием причин отказа и детализацией имеющихся замечаний вместе с первым экземпляром.</w:t>
      </w:r>
    </w:p>
    <w:bookmarkEnd w:id="39"/>
    <w:p w:rsidR="00000000" w:rsidRDefault="00956CB8">
      <w:r>
        <w:t>При поступлении в компетентный орган результатов проведенной оценки уязвимости объекта транспортной инфраструктуры в форме электронного документа с использо</w:t>
      </w:r>
      <w:r>
        <w:t>ванием ЕГИС ОТБ решение об отказе в утверждении результатов проведенной оценки уязвимости объекта транспортной инфраструктуры направляется специализированной организации с использованием ЕГИС ОТБ.</w:t>
      </w:r>
    </w:p>
    <w:p w:rsidR="00000000" w:rsidRDefault="00956CB8">
      <w:bookmarkStart w:id="40" w:name="sub_1011"/>
      <w:r>
        <w:t>11. В случаях, определенных соответствующими требов</w:t>
      </w:r>
      <w:r>
        <w:t xml:space="preserve">аниями по обеспечению транспортной безопасности, утверждаемыми Правительством Российской Федерации в соответствии с </w:t>
      </w:r>
      <w:hyperlink r:id="rId33" w:history="1">
        <w:r>
          <w:rPr>
            <w:rStyle w:val="a4"/>
          </w:rPr>
          <w:t>частью 1 статьи 8</w:t>
        </w:r>
      </w:hyperlink>
      <w:r>
        <w:t xml:space="preserve"> Федерального закона от 9 февраля 2007 г. N 16-ФЗ "</w:t>
      </w:r>
      <w:r>
        <w:t>О транспортной безопасности", в установленные данными требованиями сроки проводится дополнительная оценка уязвимости.</w:t>
      </w:r>
    </w:p>
    <w:p w:rsidR="00000000" w:rsidRDefault="00956CB8">
      <w:bookmarkStart w:id="41" w:name="sub_10112"/>
      <w:bookmarkEnd w:id="40"/>
      <w:r>
        <w:t>При изменении конструктивных, технических и технологических характеристик объекта транспортной инфраструктуры и (или) суд</w:t>
      </w:r>
      <w:r>
        <w:t>на, подлежащих оценке уязвимости, влияющих на реализуемую систему мер защиты от актов незаконного вмешательства и (или) при изменении потенциальных угроз совершения актов незаконного вмешательства в деятельность объектов транспортной инфраструктуры и судов</w:t>
      </w:r>
      <w:r>
        <w:t>, подлежащих оценке уязвимости, в 3-х месячный срок проводится дополнительная оценка уязвимости в части, касающейся произошедших изменений.</w:t>
      </w:r>
    </w:p>
    <w:bookmarkEnd w:id="41"/>
    <w:p w:rsidR="00000000" w:rsidRDefault="00956CB8">
      <w:r>
        <w:t xml:space="preserve">Дополнительная оценка уязвимости проводится в соответствии с </w:t>
      </w:r>
      <w:hyperlink w:anchor="sub_1005" w:history="1">
        <w:r>
          <w:rPr>
            <w:rStyle w:val="a4"/>
          </w:rPr>
          <w:t>пунктами 5-10</w:t>
        </w:r>
      </w:hyperlink>
      <w:r>
        <w:t xml:space="preserve"> настоя</w:t>
      </w:r>
      <w:r>
        <w:t>щего Порядка и в объеме, соответствующем и применимом к произошедшим изменениям.</w:t>
      </w:r>
    </w:p>
    <w:p w:rsidR="00000000" w:rsidRDefault="00956CB8">
      <w:r>
        <w:t xml:space="preserve">Для акватории морского порта дополнительная оценка уязвимости проводится в срок, указанный в </w:t>
      </w:r>
      <w:hyperlink w:anchor="sub_10112" w:history="1">
        <w:r>
          <w:rPr>
            <w:rStyle w:val="a4"/>
          </w:rPr>
          <w:t>абзаце втором</w:t>
        </w:r>
      </w:hyperlink>
      <w:r>
        <w:t xml:space="preserve"> настоящего пункта, при изменении конструк</w:t>
      </w:r>
      <w:r>
        <w:t>тивных, технических и технологических характеристик, влияющих на реализуемую систему мер защиты от актов незаконного вмешательства, и (или) при изменении потенциальных угроз совершения актов незаконного вмешательства, а также границ акватории морского порт</w:t>
      </w:r>
      <w:r>
        <w:t>а в части, касающейся произошедших изменений.</w:t>
      </w:r>
    </w:p>
    <w:p w:rsidR="00000000" w:rsidRDefault="00956CB8"/>
    <w:p w:rsidR="00000000" w:rsidRDefault="00956CB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956CB8">
      <w:pPr>
        <w:pStyle w:val="a8"/>
      </w:pPr>
      <w:bookmarkStart w:id="42" w:name="sub_1111"/>
      <w:r>
        <w:rPr>
          <w:vertAlign w:val="superscript"/>
        </w:rPr>
        <w:t>1</w:t>
      </w:r>
      <w:r>
        <w:t xml:space="preserve"> Бюллетень международных договоров. 2011 (приложение N 1, часть 1). С. 3 - 211. Вступила в силу для СССР 25 мая 1980 г.</w:t>
      </w:r>
    </w:p>
    <w:p w:rsidR="00000000" w:rsidRDefault="00956CB8">
      <w:pPr>
        <w:pStyle w:val="a8"/>
      </w:pPr>
      <w:bookmarkStart w:id="43" w:name="sub_1112"/>
      <w:bookmarkEnd w:id="42"/>
      <w:r>
        <w:rPr>
          <w:vertAlign w:val="superscript"/>
        </w:rPr>
        <w:t>2</w:t>
      </w:r>
      <w:r>
        <w:t xml:space="preserve"> Одобрен Конференцией Договарива</w:t>
      </w:r>
      <w:r>
        <w:t xml:space="preserve">ющихся правительств Международной конвенции по охране человеческой жизни на море 1974 г. (Резолюция N 2 принята 12 декабря 2002 г.) и является обязательным для Российской Федерации в соответствии с </w:t>
      </w:r>
      <w:hyperlink r:id="rId34" w:history="1">
        <w:r>
          <w:rPr>
            <w:rStyle w:val="a4"/>
          </w:rPr>
          <w:t>Международной конвенцией</w:t>
        </w:r>
      </w:hyperlink>
      <w:r>
        <w:t xml:space="preserve"> по охране человеческой жизни на море 1974 г. Бюллетень международных договоров. 2011 (приложение N 1, часть 5). С. 454 - 535. Вступила в силу для Российской Федерации 1 июля 2004 г.</w:t>
      </w:r>
    </w:p>
    <w:p w:rsidR="00000000" w:rsidRDefault="00956CB8">
      <w:pPr>
        <w:pStyle w:val="a8"/>
      </w:pPr>
      <w:bookmarkStart w:id="44" w:name="sub_1113"/>
      <w:bookmarkEnd w:id="43"/>
      <w:r>
        <w:rPr>
          <w:vertAlign w:val="superscript"/>
        </w:rPr>
        <w:t>3</w:t>
      </w:r>
      <w:r>
        <w:t xml:space="preserve"> Собрание законодате</w:t>
      </w:r>
      <w:r>
        <w:t>льства Российской Федерации, 2007, N 7, ст. 837; 2021, N 24, ст. 4188.</w:t>
      </w:r>
    </w:p>
    <w:p w:rsidR="00000000" w:rsidRDefault="00956CB8">
      <w:pPr>
        <w:pStyle w:val="a8"/>
      </w:pPr>
      <w:bookmarkStart w:id="45" w:name="sub_1114"/>
      <w:bookmarkEnd w:id="44"/>
      <w:r>
        <w:rPr>
          <w:vertAlign w:val="superscript"/>
        </w:rPr>
        <w:t>4</w:t>
      </w:r>
      <w:r>
        <w:t xml:space="preserve"> </w:t>
      </w:r>
      <w:hyperlink r:id="rId35" w:history="1">
        <w:r>
          <w:rPr>
            <w:rStyle w:val="a4"/>
          </w:rPr>
          <w:t>Часть 5 статьи 5</w:t>
        </w:r>
      </w:hyperlink>
      <w:r>
        <w:t xml:space="preserve"> Федерального закона от 9 февраля 2007 г. N </w:t>
      </w:r>
      <w:r>
        <w:t xml:space="preserve">16-ФЗ "О транспортной безопасности" </w:t>
      </w:r>
      <w:r>
        <w:lastRenderedPageBreak/>
        <w:t>(Собрание законодательства Российской Федерации, 2007, N 7, ст. 837; 2019, N 31, ст. 4429).</w:t>
      </w:r>
    </w:p>
    <w:p w:rsidR="00000000" w:rsidRDefault="00956CB8">
      <w:pPr>
        <w:pStyle w:val="a8"/>
      </w:pPr>
      <w:bookmarkStart w:id="46" w:name="sub_1115"/>
      <w:bookmarkEnd w:id="45"/>
      <w:r>
        <w:rPr>
          <w:vertAlign w:val="superscript"/>
        </w:rPr>
        <w:t>5</w:t>
      </w:r>
      <w:r>
        <w:t xml:space="preserve"> Собрание законодательства Российской Федерации, 2007, N 7, ст. 837; 2019, N 31, ст. 4429.</w:t>
      </w:r>
    </w:p>
    <w:p w:rsidR="00000000" w:rsidRDefault="00956CB8">
      <w:pPr>
        <w:pStyle w:val="a8"/>
      </w:pPr>
      <w:bookmarkStart w:id="47" w:name="sub_1116"/>
      <w:bookmarkEnd w:id="46"/>
      <w:r>
        <w:rPr>
          <w:vertAlign w:val="superscript"/>
        </w:rPr>
        <w:t>6</w:t>
      </w:r>
      <w:r>
        <w:t xml:space="preserve"> Со</w:t>
      </w:r>
      <w:r>
        <w:t>брание законодательства Российской Федерации, 2007, N 7, ст. 837; 2019, N 31, ст. 4429.</w:t>
      </w:r>
    </w:p>
    <w:p w:rsidR="00000000" w:rsidRDefault="00956CB8">
      <w:pPr>
        <w:pStyle w:val="a8"/>
      </w:pPr>
      <w:bookmarkStart w:id="48" w:name="sub_1117"/>
      <w:bookmarkEnd w:id="47"/>
      <w:r>
        <w:rPr>
          <w:vertAlign w:val="superscript"/>
        </w:rPr>
        <w:t>7</w:t>
      </w:r>
      <w:r>
        <w:t xml:space="preserve"> Собрание законодательства Российской Федерации, 2007, N 7, ст. 837; 2019, N 31, ст. 4429.</w:t>
      </w:r>
    </w:p>
    <w:p w:rsidR="00000000" w:rsidRDefault="00956CB8">
      <w:pPr>
        <w:pStyle w:val="a8"/>
      </w:pPr>
      <w:bookmarkStart w:id="49" w:name="sub_1118"/>
      <w:bookmarkEnd w:id="48"/>
      <w:r>
        <w:rPr>
          <w:vertAlign w:val="superscript"/>
        </w:rPr>
        <w:t>8</w:t>
      </w:r>
      <w:r>
        <w:t xml:space="preserve"> Собрание законодательства Российской Федер</w:t>
      </w:r>
      <w:r>
        <w:t>ации, 2007, N 7, ст. 837; 2019, N 31, ст. 4429.</w:t>
      </w:r>
    </w:p>
    <w:p w:rsidR="00000000" w:rsidRDefault="00956CB8">
      <w:pPr>
        <w:pStyle w:val="a8"/>
      </w:pPr>
      <w:bookmarkStart w:id="50" w:name="sub_1119"/>
      <w:bookmarkEnd w:id="49"/>
      <w:r>
        <w:rPr>
          <w:vertAlign w:val="superscript"/>
        </w:rPr>
        <w:t>9</w:t>
      </w:r>
      <w:r>
        <w:t xml:space="preserve"> Собрание законодательства Российской Федерации 2019, N 1, ст. 66; 2021, N 7, ст. 1131.</w:t>
      </w:r>
    </w:p>
    <w:p w:rsidR="00000000" w:rsidRDefault="00956CB8">
      <w:pPr>
        <w:pStyle w:val="a8"/>
      </w:pPr>
      <w:bookmarkStart w:id="51" w:name="sub_11110"/>
      <w:bookmarkEnd w:id="50"/>
      <w:r>
        <w:rPr>
          <w:vertAlign w:val="superscript"/>
        </w:rPr>
        <w:t>10</w:t>
      </w:r>
      <w:r>
        <w:t xml:space="preserve"> </w:t>
      </w:r>
      <w:hyperlink r:id="rId36" w:history="1">
        <w:r>
          <w:rPr>
            <w:rStyle w:val="a4"/>
          </w:rPr>
          <w:t>Статьи 7</w:t>
        </w:r>
      </w:hyperlink>
      <w:r>
        <w:t xml:space="preserve">, </w:t>
      </w:r>
      <w:hyperlink r:id="rId37" w:history="1">
        <w:r>
          <w:rPr>
            <w:rStyle w:val="a4"/>
          </w:rPr>
          <w:t>32</w:t>
        </w:r>
      </w:hyperlink>
      <w:r>
        <w:t xml:space="preserve"> Федерального закона от 8 ноября 2007 г. N 261-ФЗ "О морских портах в Российской Федерации и о внесении изменений в отдельные законодательные акты Российской Федерации" (Собрание зако</w:t>
      </w:r>
      <w:r>
        <w:t>нодательства Российской Федерации, 2007, N 46, ст. 5557; 2017, N 30, 4457; 2018, N 53, ст. 8451).</w:t>
      </w:r>
    </w:p>
    <w:p w:rsidR="00000000" w:rsidRDefault="00956CB8">
      <w:pPr>
        <w:pStyle w:val="a8"/>
      </w:pPr>
      <w:bookmarkStart w:id="52" w:name="sub_11111"/>
      <w:bookmarkEnd w:id="51"/>
      <w:r>
        <w:rPr>
          <w:vertAlign w:val="superscript"/>
        </w:rPr>
        <w:t>11</w:t>
      </w:r>
      <w:r>
        <w:t xml:space="preserve"> </w:t>
      </w:r>
      <w:hyperlink r:id="rId38" w:history="1">
        <w:r>
          <w:rPr>
            <w:rStyle w:val="a4"/>
          </w:rPr>
          <w:t>Часть 1 статьи 15</w:t>
        </w:r>
      </w:hyperlink>
      <w:r>
        <w:t xml:space="preserve"> Федерального закона от 8 ноября 2007 г. N 261-</w:t>
      </w:r>
      <w:r>
        <w:t>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 46, ст. 5557; 2013, N 30, ст. 4058).</w:t>
      </w:r>
    </w:p>
    <w:p w:rsidR="00000000" w:rsidRDefault="00956CB8">
      <w:pPr>
        <w:pStyle w:val="a8"/>
      </w:pPr>
      <w:bookmarkStart w:id="53" w:name="sub_11112"/>
      <w:bookmarkEnd w:id="52"/>
      <w:r>
        <w:rPr>
          <w:vertAlign w:val="superscript"/>
        </w:rPr>
        <w:t>12</w:t>
      </w:r>
      <w:r>
        <w:t xml:space="preserve"> </w:t>
      </w:r>
      <w:hyperlink r:id="rId39" w:history="1">
        <w:r>
          <w:rPr>
            <w:rStyle w:val="a4"/>
          </w:rPr>
          <w:t>Приложение N 2</w:t>
        </w:r>
      </w:hyperlink>
      <w:r>
        <w:t xml:space="preserve"> к Порядку оснащения судов техническими средствами контроля, их видов, требований к их использованию, утвержденному </w:t>
      </w:r>
      <w:hyperlink r:id="rId40" w:history="1">
        <w:r>
          <w:rPr>
            <w:rStyle w:val="a4"/>
          </w:rPr>
          <w:t>прика</w:t>
        </w:r>
        <w:r>
          <w:rPr>
            <w:rStyle w:val="a4"/>
          </w:rPr>
          <w:t>зом</w:t>
        </w:r>
      </w:hyperlink>
      <w:r>
        <w:t xml:space="preserve"> Минсельхоза России от 15 ноября 2018 г. N 525 (зарегистрирован Минюстом России 11 декабря 2018 г., регистрационный N 52959), с изменениями, внесенными </w:t>
      </w:r>
      <w:hyperlink r:id="rId41" w:history="1">
        <w:r>
          <w:rPr>
            <w:rStyle w:val="a4"/>
          </w:rPr>
          <w:t>приказом</w:t>
        </w:r>
      </w:hyperlink>
      <w:r>
        <w:t xml:space="preserve"> Минсельхоза России </w:t>
      </w:r>
      <w:r>
        <w:t>от 6 октября 2020 г. N 593 (зарегистрирован Минюстом России 9 ноября 2020 г., регистрационный N 60792).</w:t>
      </w:r>
    </w:p>
    <w:p w:rsidR="00000000" w:rsidRDefault="00956CB8">
      <w:pPr>
        <w:pStyle w:val="a8"/>
      </w:pPr>
      <w:bookmarkStart w:id="54" w:name="sub_11113"/>
      <w:bookmarkEnd w:id="53"/>
      <w:r>
        <w:rPr>
          <w:vertAlign w:val="superscript"/>
        </w:rPr>
        <w:t>13</w:t>
      </w:r>
      <w:r>
        <w:t xml:space="preserve"> </w:t>
      </w:r>
      <w:hyperlink r:id="rId42" w:history="1">
        <w:r>
          <w:rPr>
            <w:rStyle w:val="a4"/>
          </w:rPr>
          <w:t>Статья 4</w:t>
        </w:r>
      </w:hyperlink>
      <w:r>
        <w:t xml:space="preserve"> Федерального закона от 8 ноября 2007 г. N 261-ФЗ "О </w:t>
      </w:r>
      <w:r>
        <w:t>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 46, ст. 5557; 2017, N 30, ст. 4457).</w:t>
      </w:r>
    </w:p>
    <w:p w:rsidR="00000000" w:rsidRDefault="00956CB8">
      <w:pPr>
        <w:pStyle w:val="a8"/>
      </w:pPr>
      <w:bookmarkStart w:id="55" w:name="sub_11114"/>
      <w:bookmarkEnd w:id="54"/>
      <w:r>
        <w:rPr>
          <w:vertAlign w:val="superscript"/>
        </w:rPr>
        <w:t>14</w:t>
      </w:r>
      <w:r>
        <w:t xml:space="preserve"> </w:t>
      </w:r>
      <w:hyperlink r:id="rId43" w:history="1">
        <w:r>
          <w:rPr>
            <w:rStyle w:val="a4"/>
          </w:rPr>
          <w:t>Приказ</w:t>
        </w:r>
      </w:hyperlink>
      <w:r>
        <w:t xml:space="preserve"> Минтранса России от 29 апреля 2009 г. N 68 "Об утверждении Правил оказания услуг по организации перегрузки грузов с судна на судно" (зарегистрирован Министерством юстиции Российской Федерации 29 июня 2009 г</w:t>
      </w:r>
      <w:r>
        <w:t xml:space="preserve">., регистрационный N 14146) с </w:t>
      </w:r>
      <w:hyperlink r:id="rId44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45" w:history="1">
        <w:r>
          <w:rPr>
            <w:rStyle w:val="a4"/>
          </w:rPr>
          <w:t>приказом</w:t>
        </w:r>
      </w:hyperlink>
      <w:r>
        <w:t xml:space="preserve"> Минтранса России от 10 мая 2016 г. N 122 (зарегист</w:t>
      </w:r>
      <w:r>
        <w:t>рирован Минюстом России 7 июня 2016 г., регистрационный N 42438).</w:t>
      </w:r>
    </w:p>
    <w:p w:rsidR="00000000" w:rsidRDefault="00956CB8">
      <w:pPr>
        <w:pStyle w:val="a8"/>
      </w:pPr>
      <w:bookmarkStart w:id="56" w:name="sub_11115"/>
      <w:bookmarkEnd w:id="55"/>
      <w:r>
        <w:rPr>
          <w:vertAlign w:val="superscript"/>
        </w:rPr>
        <w:t>15</w:t>
      </w:r>
      <w:r>
        <w:t xml:space="preserve"> Зарегистрирован Минюстом России 2 апреля 2010 г., регистрационный N 16782.</w:t>
      </w:r>
    </w:p>
    <w:p w:rsidR="00000000" w:rsidRDefault="00956CB8">
      <w:pPr>
        <w:pStyle w:val="a8"/>
      </w:pPr>
      <w:bookmarkStart w:id="57" w:name="sub_11116"/>
      <w:bookmarkEnd w:id="56"/>
      <w:r>
        <w:rPr>
          <w:vertAlign w:val="superscript"/>
        </w:rPr>
        <w:t>16</w:t>
      </w:r>
      <w:r>
        <w:t xml:space="preserve"> </w:t>
      </w:r>
      <w:hyperlink r:id="rId46" w:history="1">
        <w:r>
          <w:rPr>
            <w:rStyle w:val="a4"/>
          </w:rPr>
          <w:t>По</w:t>
        </w:r>
        <w:r>
          <w:rPr>
            <w:rStyle w:val="a4"/>
          </w:rPr>
          <w:t>дпункт "а" пункта 4</w:t>
        </w:r>
      </w:hyperlink>
      <w:r>
        <w:t xml:space="preserve">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которые являются приложением к Правилам определения видов электронной подписи, испо</w:t>
      </w:r>
      <w:r>
        <w:t xml:space="preserve">льзование которых допускается при обращении за получением государственных и муниципальных услуг, утвержденным </w:t>
      </w:r>
      <w:hyperlink r:id="rId4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июня 2012 г. N 634 (</w:t>
      </w:r>
      <w:r>
        <w:t>Собрание законодательства Российской Федерации, 2012, N 27, ст. 3744).</w:t>
      </w:r>
    </w:p>
    <w:p w:rsidR="00000000" w:rsidRDefault="00956CB8">
      <w:pPr>
        <w:pStyle w:val="a8"/>
      </w:pPr>
      <w:bookmarkStart w:id="58" w:name="sub_11117"/>
      <w:bookmarkEnd w:id="57"/>
      <w:r>
        <w:rPr>
          <w:vertAlign w:val="superscript"/>
        </w:rPr>
        <w:t>17</w:t>
      </w:r>
      <w:r>
        <w:t xml:space="preserve"> </w:t>
      </w:r>
      <w:hyperlink r:id="rId48" w:history="1">
        <w:r>
          <w:rPr>
            <w:rStyle w:val="a4"/>
          </w:rPr>
          <w:t>Пункт 3 статьи 1</w:t>
        </w:r>
      </w:hyperlink>
      <w:r>
        <w:t xml:space="preserve">, </w:t>
      </w:r>
      <w:hyperlink r:id="rId49" w:history="1">
        <w:r>
          <w:rPr>
            <w:rStyle w:val="a4"/>
          </w:rPr>
          <w:t>часть</w:t>
        </w:r>
        <w:r>
          <w:rPr>
            <w:rStyle w:val="a4"/>
          </w:rPr>
          <w:t xml:space="preserve"> 2 статьи 9</w:t>
        </w:r>
      </w:hyperlink>
      <w:r>
        <w:t xml:space="preserve"> Федерального закона от 9 февраля 2007 г. N 16-ФЗ "О транспортной безопасности" (Собрание законодательства Российской Федерации, 2007, N 7, ст. 837; 2019, N 31, ст. 4429).</w:t>
      </w:r>
    </w:p>
    <w:p w:rsidR="00000000" w:rsidRDefault="00956CB8">
      <w:pPr>
        <w:pStyle w:val="a8"/>
      </w:pPr>
      <w:bookmarkStart w:id="59" w:name="sub_11118"/>
      <w:bookmarkEnd w:id="58"/>
      <w:r>
        <w:rPr>
          <w:vertAlign w:val="superscript"/>
        </w:rPr>
        <w:t>18</w:t>
      </w:r>
      <w:r>
        <w:t xml:space="preserve"> </w:t>
      </w:r>
      <w:hyperlink r:id="rId50" w:history="1">
        <w:r>
          <w:rPr>
            <w:rStyle w:val="a4"/>
          </w:rPr>
          <w:t>Статья 11</w:t>
        </w:r>
      </w:hyperlink>
      <w:r>
        <w:t xml:space="preserve"> Федерального закона от 9 февраля 2007 г. N 16-ФЗ "О транспортной безопасности" (Собрание законодательства Российской Федерации, 2007, N 7, ст. 837; 2015, N 27, ст. 3959).</w:t>
      </w:r>
    </w:p>
    <w:bookmarkEnd w:id="59"/>
    <w:p w:rsidR="00000000" w:rsidRDefault="00956CB8"/>
    <w:p w:rsidR="00956CB8" w:rsidRDefault="00956CB8"/>
    <w:sectPr w:rsidR="00956CB8">
      <w:headerReference w:type="default" r:id="rId51"/>
      <w:footerReference w:type="default" r:id="rId5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CB8" w:rsidRDefault="00956CB8">
      <w:r>
        <w:separator/>
      </w:r>
    </w:p>
  </w:endnote>
  <w:endnote w:type="continuationSeparator" w:id="0">
    <w:p w:rsidR="00956CB8" w:rsidRDefault="0095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56CB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56CB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56CB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16A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16A1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16A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16A1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CB8" w:rsidRDefault="00956CB8">
      <w:r>
        <w:separator/>
      </w:r>
    </w:p>
  </w:footnote>
  <w:footnote w:type="continuationSeparator" w:id="0">
    <w:p w:rsidR="00956CB8" w:rsidRDefault="0095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56CB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транспорта РФ от 1 ноября 2021 г. N 370 "О Порядке проведения оценки уязвимости…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18"/>
    <w:rsid w:val="00316A18"/>
    <w:rsid w:val="0095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51931/0" TargetMode="External"/><Relationship Id="rId18" Type="http://schemas.openxmlformats.org/officeDocument/2006/relationships/hyperlink" Target="https://internet.garant.ru/document/redirect/12151931/10111" TargetMode="External"/><Relationship Id="rId26" Type="http://schemas.openxmlformats.org/officeDocument/2006/relationships/hyperlink" Target="https://internet.garant.ru/document/redirect/12184522/21" TargetMode="External"/><Relationship Id="rId39" Type="http://schemas.openxmlformats.org/officeDocument/2006/relationships/hyperlink" Target="https://internet.garant.ru/document/redirect/72125218/1200" TargetMode="External"/><Relationship Id="rId21" Type="http://schemas.openxmlformats.org/officeDocument/2006/relationships/hyperlink" Target="https://internet.garant.ru/document/redirect/72144222/0" TargetMode="External"/><Relationship Id="rId34" Type="http://schemas.openxmlformats.org/officeDocument/2006/relationships/hyperlink" Target="https://internet.garant.ru/document/redirect/71353064/0" TargetMode="External"/><Relationship Id="rId42" Type="http://schemas.openxmlformats.org/officeDocument/2006/relationships/hyperlink" Target="https://internet.garant.ru/document/redirect/12157006/4" TargetMode="External"/><Relationship Id="rId47" Type="http://schemas.openxmlformats.org/officeDocument/2006/relationships/hyperlink" Target="https://internet.garant.ru/document/redirect/70193794/0" TargetMode="External"/><Relationship Id="rId50" Type="http://schemas.openxmlformats.org/officeDocument/2006/relationships/hyperlink" Target="https://internet.garant.ru/document/redirect/12151931/11" TargetMode="External"/><Relationship Id="rId7" Type="http://schemas.openxmlformats.org/officeDocument/2006/relationships/hyperlink" Target="https://internet.garant.ru/document/redirect/12151931/5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51931/505" TargetMode="External"/><Relationship Id="rId29" Type="http://schemas.openxmlformats.org/officeDocument/2006/relationships/hyperlink" Target="https://internet.garant.ru/document/redirect/12184522/21" TargetMode="External"/><Relationship Id="rId11" Type="http://schemas.openxmlformats.org/officeDocument/2006/relationships/hyperlink" Target="https://internet.garant.ru/document/redirect/71353064/100112" TargetMode="External"/><Relationship Id="rId24" Type="http://schemas.openxmlformats.org/officeDocument/2006/relationships/hyperlink" Target="https://internet.garant.ru/document/redirect/12174831/1000" TargetMode="External"/><Relationship Id="rId32" Type="http://schemas.openxmlformats.org/officeDocument/2006/relationships/hyperlink" Target="https://internet.garant.ru/document/redirect/12184522/21" TargetMode="External"/><Relationship Id="rId37" Type="http://schemas.openxmlformats.org/officeDocument/2006/relationships/hyperlink" Target="https://internet.garant.ru/document/redirect/12157006/32" TargetMode="External"/><Relationship Id="rId40" Type="http://schemas.openxmlformats.org/officeDocument/2006/relationships/hyperlink" Target="https://internet.garant.ru/document/redirect/72125218/0" TargetMode="External"/><Relationship Id="rId45" Type="http://schemas.openxmlformats.org/officeDocument/2006/relationships/hyperlink" Target="https://internet.garant.ru/document/redirect/71418396/0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72209862/0" TargetMode="External"/><Relationship Id="rId19" Type="http://schemas.openxmlformats.org/officeDocument/2006/relationships/hyperlink" Target="https://internet.garant.ru/document/redirect/12151931/10111" TargetMode="External"/><Relationship Id="rId31" Type="http://schemas.openxmlformats.org/officeDocument/2006/relationships/hyperlink" Target="https://internet.garant.ru/document/redirect/12184522/21" TargetMode="External"/><Relationship Id="rId44" Type="http://schemas.openxmlformats.org/officeDocument/2006/relationships/hyperlink" Target="https://internet.garant.ru/document/redirect/71418396/1000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7263/0" TargetMode="External"/><Relationship Id="rId14" Type="http://schemas.openxmlformats.org/officeDocument/2006/relationships/hyperlink" Target="https://internet.garant.ru/document/redirect/71353064/100112" TargetMode="External"/><Relationship Id="rId22" Type="http://schemas.openxmlformats.org/officeDocument/2006/relationships/hyperlink" Target="https://internet.garant.ru/document/redirect/195838/1000" TargetMode="External"/><Relationship Id="rId27" Type="http://schemas.openxmlformats.org/officeDocument/2006/relationships/hyperlink" Target="https://internet.garant.ru/document/redirect/12184522/21" TargetMode="External"/><Relationship Id="rId30" Type="http://schemas.openxmlformats.org/officeDocument/2006/relationships/hyperlink" Target="https://internet.garant.ru/document/redirect/12184522/21" TargetMode="External"/><Relationship Id="rId35" Type="http://schemas.openxmlformats.org/officeDocument/2006/relationships/hyperlink" Target="https://internet.garant.ru/document/redirect/12151931/505" TargetMode="External"/><Relationship Id="rId43" Type="http://schemas.openxmlformats.org/officeDocument/2006/relationships/hyperlink" Target="https://internet.garant.ru/document/redirect/195838/0" TargetMode="External"/><Relationship Id="rId48" Type="http://schemas.openxmlformats.org/officeDocument/2006/relationships/hyperlink" Target="https://internet.garant.ru/document/redirect/12151931/103" TargetMode="External"/><Relationship Id="rId8" Type="http://schemas.openxmlformats.org/officeDocument/2006/relationships/hyperlink" Target="https://internet.garant.ru/document/redirect/187263/1101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71516734/10000" TargetMode="External"/><Relationship Id="rId17" Type="http://schemas.openxmlformats.org/officeDocument/2006/relationships/hyperlink" Target="https://internet.garant.ru/document/redirect/12151931/502" TargetMode="External"/><Relationship Id="rId25" Type="http://schemas.openxmlformats.org/officeDocument/2006/relationships/hyperlink" Target="https://internet.garant.ru/document/redirect/12174831/0" TargetMode="External"/><Relationship Id="rId33" Type="http://schemas.openxmlformats.org/officeDocument/2006/relationships/hyperlink" Target="https://internet.garant.ru/document/redirect/12151931/801" TargetMode="External"/><Relationship Id="rId38" Type="http://schemas.openxmlformats.org/officeDocument/2006/relationships/hyperlink" Target="https://internet.garant.ru/document/redirect/12157006/1501" TargetMode="External"/><Relationship Id="rId46" Type="http://schemas.openxmlformats.org/officeDocument/2006/relationships/hyperlink" Target="https://internet.garant.ru/document/redirect/70193794/10041" TargetMode="External"/><Relationship Id="rId20" Type="http://schemas.openxmlformats.org/officeDocument/2006/relationships/hyperlink" Target="https://internet.garant.ru/document/redirect/12151931/8" TargetMode="External"/><Relationship Id="rId41" Type="http://schemas.openxmlformats.org/officeDocument/2006/relationships/hyperlink" Target="https://internet.garant.ru/document/redirect/74876167/0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71516734/10000" TargetMode="External"/><Relationship Id="rId23" Type="http://schemas.openxmlformats.org/officeDocument/2006/relationships/hyperlink" Target="https://internet.garant.ru/document/redirect/12151931/0" TargetMode="External"/><Relationship Id="rId28" Type="http://schemas.openxmlformats.org/officeDocument/2006/relationships/hyperlink" Target="https://internet.garant.ru/document/redirect/12184522/21" TargetMode="External"/><Relationship Id="rId36" Type="http://schemas.openxmlformats.org/officeDocument/2006/relationships/hyperlink" Target="https://internet.garant.ru/document/redirect/12157006/7" TargetMode="External"/><Relationship Id="rId49" Type="http://schemas.openxmlformats.org/officeDocument/2006/relationships/hyperlink" Target="https://internet.garant.ru/document/redirect/12151931/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4424</Words>
  <Characters>25218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2025-11-11T12:29:00Z</dcterms:created>
  <dcterms:modified xsi:type="dcterms:W3CDTF">2025-11-11T12:29:00Z</dcterms:modified>
</cp:coreProperties>
</file>